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FA0AED" w14:textId="47A212D3" w:rsidR="006C32F6" w:rsidRPr="006C32F6" w:rsidRDefault="006C32F6">
      <w:pPr>
        <w:rPr>
          <w:b/>
          <w:bCs/>
          <w:color w:val="ED7D31" w:themeColor="accent2"/>
          <w:sz w:val="28"/>
          <w:szCs w:val="28"/>
        </w:rPr>
      </w:pPr>
      <w:r w:rsidRPr="006C32F6">
        <w:rPr>
          <w:b/>
          <w:bCs/>
          <w:color w:val="ED7D31" w:themeColor="accent2"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518D8CDF" wp14:editId="769BEF5D">
            <wp:simplePos x="0" y="0"/>
            <wp:positionH relativeFrom="column">
              <wp:posOffset>3746500</wp:posOffset>
            </wp:positionH>
            <wp:positionV relativeFrom="margin">
              <wp:posOffset>-622300</wp:posOffset>
            </wp:positionV>
            <wp:extent cx="2548255" cy="717550"/>
            <wp:effectExtent l="0" t="0" r="4445" b="6350"/>
            <wp:wrapTight wrapText="bothSides">
              <wp:wrapPolygon edited="0">
                <wp:start x="0" y="0"/>
                <wp:lineTo x="0" y="21218"/>
                <wp:lineTo x="21476" y="21218"/>
                <wp:lineTo x="21476" y="0"/>
                <wp:lineTo x="0" y="0"/>
              </wp:wrapPolygon>
            </wp:wrapTight>
            <wp:docPr id="6" name="Picture 6" descr="C:\Users\IanSmallwood\AppData\Local\Microsoft\Windows\INetCacheContent.Word\Business ES Growth Hub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anSmallwood\AppData\Local\Microsoft\Windows\INetCacheContent.Word\Business ES Growth Hub 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8255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C32F6">
        <w:rPr>
          <w:b/>
          <w:bCs/>
          <w:color w:val="ED7D31" w:themeColor="accent2"/>
          <w:sz w:val="28"/>
          <w:szCs w:val="28"/>
        </w:rPr>
        <w:t>Summary of Enquiries on CV19 March/April 2020</w:t>
      </w:r>
    </w:p>
    <w:p w14:paraId="02E15984" w14:textId="0DFA8552" w:rsidR="003F25EA" w:rsidRPr="00163BAE" w:rsidRDefault="00163BAE">
      <w:pPr>
        <w:rPr>
          <w:b/>
          <w:bCs/>
        </w:rPr>
      </w:pPr>
      <w:bookmarkStart w:id="0" w:name="_GoBack"/>
      <w:bookmarkEnd w:id="0"/>
      <w:r w:rsidRPr="00163BAE">
        <w:rPr>
          <w:b/>
          <w:bCs/>
        </w:rPr>
        <w:t>Enquiries by topic.</w:t>
      </w:r>
    </w:p>
    <w:p w14:paraId="547F7CD6" w14:textId="78FAB1E3" w:rsidR="00163BAE" w:rsidRDefault="006C32F6">
      <w:r w:rsidRPr="006C32F6">
        <w:drawing>
          <wp:inline distT="0" distB="0" distL="0" distR="0" wp14:anchorId="2197DD29" wp14:editId="2790B862">
            <wp:extent cx="5731510" cy="166052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66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E9B20" w14:textId="77777777" w:rsidR="006C32F6" w:rsidRDefault="006C32F6">
      <w:pPr>
        <w:rPr>
          <w:b/>
          <w:bCs/>
        </w:rPr>
      </w:pPr>
    </w:p>
    <w:p w14:paraId="1FD5827C" w14:textId="2A401ABD" w:rsidR="00163BAE" w:rsidRPr="00163BAE" w:rsidRDefault="00163BAE">
      <w:pPr>
        <w:rPr>
          <w:b/>
          <w:bCs/>
        </w:rPr>
      </w:pPr>
      <w:r w:rsidRPr="00163BAE">
        <w:rPr>
          <w:b/>
          <w:bCs/>
        </w:rPr>
        <w:t>% Enquiries by Local Authority.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38"/>
        <w:gridCol w:w="7778"/>
      </w:tblGrid>
      <w:tr w:rsidR="009D1442" w14:paraId="0671630C" w14:textId="77777777" w:rsidTr="009D1442">
        <w:tc>
          <w:tcPr>
            <w:tcW w:w="846" w:type="dxa"/>
          </w:tcPr>
          <w:p w14:paraId="378B0C6E" w14:textId="42239200" w:rsidR="009D1442" w:rsidRDefault="009D1442">
            <w:r>
              <w:t xml:space="preserve">Rother </w:t>
            </w:r>
          </w:p>
        </w:tc>
        <w:tc>
          <w:tcPr>
            <w:tcW w:w="8170" w:type="dxa"/>
          </w:tcPr>
          <w:p w14:paraId="6C68AAE7" w14:textId="7B4FAD01" w:rsidR="009D1442" w:rsidRDefault="009D1442">
            <w:r>
              <w:t>24.5%</w:t>
            </w:r>
          </w:p>
        </w:tc>
      </w:tr>
      <w:tr w:rsidR="009D1442" w14:paraId="14365FE6" w14:textId="77777777" w:rsidTr="009D1442">
        <w:tc>
          <w:tcPr>
            <w:tcW w:w="846" w:type="dxa"/>
          </w:tcPr>
          <w:p w14:paraId="46F1720A" w14:textId="08C7E9D6" w:rsidR="009D1442" w:rsidRDefault="009D1442">
            <w:r>
              <w:t>Wealden</w:t>
            </w:r>
          </w:p>
        </w:tc>
        <w:tc>
          <w:tcPr>
            <w:tcW w:w="8170" w:type="dxa"/>
          </w:tcPr>
          <w:p w14:paraId="37B0C9B1" w14:textId="671A9A5E" w:rsidR="009D1442" w:rsidRDefault="009D1442">
            <w:r>
              <w:t>21.0%</w:t>
            </w:r>
          </w:p>
        </w:tc>
      </w:tr>
      <w:tr w:rsidR="009D1442" w14:paraId="600F671C" w14:textId="77777777" w:rsidTr="009D1442">
        <w:tc>
          <w:tcPr>
            <w:tcW w:w="846" w:type="dxa"/>
          </w:tcPr>
          <w:p w14:paraId="0509B0CF" w14:textId="41761A04" w:rsidR="009D1442" w:rsidRDefault="009D1442">
            <w:r>
              <w:t>Lewes</w:t>
            </w:r>
          </w:p>
        </w:tc>
        <w:tc>
          <w:tcPr>
            <w:tcW w:w="8170" w:type="dxa"/>
          </w:tcPr>
          <w:p w14:paraId="5FD095CB" w14:textId="72ED7E69" w:rsidR="009D1442" w:rsidRDefault="009D1442">
            <w:r>
              <w:t>19.2%</w:t>
            </w:r>
          </w:p>
        </w:tc>
      </w:tr>
      <w:tr w:rsidR="009D1442" w14:paraId="6B579DF2" w14:textId="77777777" w:rsidTr="009D1442">
        <w:tc>
          <w:tcPr>
            <w:tcW w:w="846" w:type="dxa"/>
          </w:tcPr>
          <w:p w14:paraId="49F37942" w14:textId="586FC5F3" w:rsidR="009D1442" w:rsidRDefault="009D1442">
            <w:r>
              <w:t>Hastings</w:t>
            </w:r>
          </w:p>
        </w:tc>
        <w:tc>
          <w:tcPr>
            <w:tcW w:w="8170" w:type="dxa"/>
          </w:tcPr>
          <w:p w14:paraId="1C7FBBE2" w14:textId="0A2E9F01" w:rsidR="009D1442" w:rsidRDefault="009D1442">
            <w:r>
              <w:t>17.5%</w:t>
            </w:r>
          </w:p>
        </w:tc>
      </w:tr>
      <w:tr w:rsidR="009D1442" w14:paraId="4232EDB7" w14:textId="77777777" w:rsidTr="009D1442">
        <w:tc>
          <w:tcPr>
            <w:tcW w:w="846" w:type="dxa"/>
          </w:tcPr>
          <w:p w14:paraId="1B534CBF" w14:textId="71EA4494" w:rsidR="009D1442" w:rsidRDefault="00533999">
            <w:r>
              <w:t>Eastbourne</w:t>
            </w:r>
          </w:p>
        </w:tc>
        <w:tc>
          <w:tcPr>
            <w:tcW w:w="8170" w:type="dxa"/>
          </w:tcPr>
          <w:p w14:paraId="65B3EA5D" w14:textId="53EAD102" w:rsidR="009D1442" w:rsidRDefault="00533999">
            <w:r>
              <w:t>15.7%</w:t>
            </w:r>
          </w:p>
        </w:tc>
      </w:tr>
    </w:tbl>
    <w:p w14:paraId="1B95DE90" w14:textId="611D2F2C" w:rsidR="009D1442" w:rsidRDefault="009D1442"/>
    <w:p w14:paraId="37A7869F" w14:textId="40FBA1A3" w:rsidR="00163BAE" w:rsidRPr="00163BAE" w:rsidRDefault="00163BAE">
      <w:pPr>
        <w:rPr>
          <w:b/>
          <w:bCs/>
        </w:rPr>
      </w:pPr>
      <w:r w:rsidRPr="00163BAE">
        <w:rPr>
          <w:b/>
          <w:bCs/>
        </w:rPr>
        <w:t xml:space="preserve">Business </w:t>
      </w:r>
      <w:r w:rsidR="00E90F06">
        <w:rPr>
          <w:b/>
          <w:bCs/>
        </w:rPr>
        <w:t>s</w:t>
      </w:r>
      <w:r w:rsidRPr="00163BAE">
        <w:rPr>
          <w:b/>
          <w:bCs/>
        </w:rPr>
        <w:t>ize by employee number.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533999" w14:paraId="482E5535" w14:textId="77777777" w:rsidTr="00533999">
        <w:tc>
          <w:tcPr>
            <w:tcW w:w="3005" w:type="dxa"/>
          </w:tcPr>
          <w:p w14:paraId="6766260B" w14:textId="3ED884B0" w:rsidR="00533999" w:rsidRDefault="00533999">
            <w:r>
              <w:t>Employee Number</w:t>
            </w:r>
          </w:p>
        </w:tc>
        <w:tc>
          <w:tcPr>
            <w:tcW w:w="3005" w:type="dxa"/>
          </w:tcPr>
          <w:p w14:paraId="54CE643D" w14:textId="3F4F3E7A" w:rsidR="00533999" w:rsidRDefault="00533999">
            <w:r>
              <w:t>% of total</w:t>
            </w:r>
          </w:p>
        </w:tc>
        <w:tc>
          <w:tcPr>
            <w:tcW w:w="3006" w:type="dxa"/>
          </w:tcPr>
          <w:p w14:paraId="0CE855C0" w14:textId="35B00637" w:rsidR="00533999" w:rsidRDefault="00533999">
            <w:r>
              <w:t>Average number of employees</w:t>
            </w:r>
          </w:p>
        </w:tc>
      </w:tr>
      <w:tr w:rsidR="00533999" w14:paraId="4CA0F054" w14:textId="77777777" w:rsidTr="00533999">
        <w:tc>
          <w:tcPr>
            <w:tcW w:w="3005" w:type="dxa"/>
          </w:tcPr>
          <w:p w14:paraId="34879D68" w14:textId="32994699" w:rsidR="00533999" w:rsidRDefault="00533999">
            <w:r>
              <w:t>0 - 5</w:t>
            </w:r>
          </w:p>
        </w:tc>
        <w:tc>
          <w:tcPr>
            <w:tcW w:w="3005" w:type="dxa"/>
          </w:tcPr>
          <w:p w14:paraId="51AE7FBD" w14:textId="25219E6B" w:rsidR="00533999" w:rsidRDefault="00E90F06">
            <w:r>
              <w:t>8</w:t>
            </w:r>
            <w:r w:rsidR="00533999">
              <w:t>0%</w:t>
            </w:r>
          </w:p>
        </w:tc>
        <w:tc>
          <w:tcPr>
            <w:tcW w:w="3006" w:type="dxa"/>
          </w:tcPr>
          <w:p w14:paraId="2E675126" w14:textId="5D53EE49" w:rsidR="00533999" w:rsidRDefault="00533999">
            <w:r>
              <w:t>1.89</w:t>
            </w:r>
          </w:p>
        </w:tc>
      </w:tr>
      <w:tr w:rsidR="00533999" w14:paraId="732C4E72" w14:textId="77777777" w:rsidTr="00533999">
        <w:tc>
          <w:tcPr>
            <w:tcW w:w="3005" w:type="dxa"/>
          </w:tcPr>
          <w:p w14:paraId="553091F8" w14:textId="43357091" w:rsidR="00533999" w:rsidRDefault="00533999">
            <w:r>
              <w:t>5 - 20</w:t>
            </w:r>
          </w:p>
        </w:tc>
        <w:tc>
          <w:tcPr>
            <w:tcW w:w="3005" w:type="dxa"/>
          </w:tcPr>
          <w:p w14:paraId="435CAD90" w14:textId="23690959" w:rsidR="00533999" w:rsidRDefault="00533999">
            <w:r>
              <w:t>15%</w:t>
            </w:r>
          </w:p>
        </w:tc>
        <w:tc>
          <w:tcPr>
            <w:tcW w:w="3006" w:type="dxa"/>
          </w:tcPr>
          <w:p w14:paraId="557B3851" w14:textId="3F52C367" w:rsidR="00533999" w:rsidRDefault="00533999">
            <w:r>
              <w:t>6.3</w:t>
            </w:r>
          </w:p>
        </w:tc>
      </w:tr>
      <w:tr w:rsidR="00533999" w14:paraId="3B6E2287" w14:textId="77777777" w:rsidTr="00533999">
        <w:tc>
          <w:tcPr>
            <w:tcW w:w="3005" w:type="dxa"/>
          </w:tcPr>
          <w:p w14:paraId="05CA4F26" w14:textId="0D133E04" w:rsidR="00533999" w:rsidRDefault="00533999">
            <w:r>
              <w:t>20 +</w:t>
            </w:r>
          </w:p>
        </w:tc>
        <w:tc>
          <w:tcPr>
            <w:tcW w:w="3005" w:type="dxa"/>
          </w:tcPr>
          <w:p w14:paraId="3D4B0F4A" w14:textId="557EF71D" w:rsidR="00533999" w:rsidRDefault="00E90F06">
            <w:r>
              <w:t>5</w:t>
            </w:r>
            <w:r w:rsidR="00533999">
              <w:t>%</w:t>
            </w:r>
          </w:p>
        </w:tc>
        <w:tc>
          <w:tcPr>
            <w:tcW w:w="3006" w:type="dxa"/>
          </w:tcPr>
          <w:p w14:paraId="0396635A" w14:textId="76FCEBF2" w:rsidR="00533999" w:rsidRDefault="00533999">
            <w:r>
              <w:t>20</w:t>
            </w:r>
          </w:p>
        </w:tc>
      </w:tr>
    </w:tbl>
    <w:p w14:paraId="50D0483A" w14:textId="3F711A5A" w:rsidR="00533999" w:rsidRDefault="00533999"/>
    <w:p w14:paraId="710CB9EC" w14:textId="6D54DD11" w:rsidR="00163BAE" w:rsidRDefault="00EB3F90">
      <w:r>
        <w:rPr>
          <w:noProof/>
        </w:rPr>
        <w:drawing>
          <wp:inline distT="0" distB="0" distL="0" distR="0" wp14:anchorId="6BB1C4F7" wp14:editId="0AC2AD6F">
            <wp:extent cx="5708650" cy="2590800"/>
            <wp:effectExtent l="0" t="0" r="6350" b="0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8D5BAF02-837C-4B19-89DA-F743E753200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10D9979E" w14:textId="77777777" w:rsidR="00533999" w:rsidRDefault="00533999"/>
    <w:sectPr w:rsidR="005339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CBD262" w14:textId="77777777" w:rsidR="006C32F6" w:rsidRDefault="006C32F6" w:rsidP="006C32F6">
      <w:pPr>
        <w:spacing w:after="0" w:line="240" w:lineRule="auto"/>
      </w:pPr>
      <w:r>
        <w:separator/>
      </w:r>
    </w:p>
  </w:endnote>
  <w:endnote w:type="continuationSeparator" w:id="0">
    <w:p w14:paraId="3762C86C" w14:textId="77777777" w:rsidR="006C32F6" w:rsidRDefault="006C32F6" w:rsidP="006C3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606D19" w14:textId="77777777" w:rsidR="006C32F6" w:rsidRDefault="006C32F6" w:rsidP="006C32F6">
      <w:pPr>
        <w:spacing w:after="0" w:line="240" w:lineRule="auto"/>
      </w:pPr>
      <w:r>
        <w:separator/>
      </w:r>
    </w:p>
  </w:footnote>
  <w:footnote w:type="continuationSeparator" w:id="0">
    <w:p w14:paraId="3C2E5E22" w14:textId="77777777" w:rsidR="006C32F6" w:rsidRDefault="006C32F6" w:rsidP="006C32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442"/>
    <w:rsid w:val="00163BAE"/>
    <w:rsid w:val="002D1910"/>
    <w:rsid w:val="00533999"/>
    <w:rsid w:val="006C32F6"/>
    <w:rsid w:val="009D1442"/>
    <w:rsid w:val="00DF1EBF"/>
    <w:rsid w:val="00E90F06"/>
    <w:rsid w:val="00EB3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2AD082B"/>
  <w15:chartTrackingRefBased/>
  <w15:docId w15:val="{DFF1A79C-9242-438C-9E8E-AB62D1056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14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C3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32F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C32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32F6"/>
  </w:style>
  <w:style w:type="paragraph" w:styleId="Footer">
    <w:name w:val="footer"/>
    <w:basedOn w:val="Normal"/>
    <w:link w:val="FooterChar"/>
    <w:uiPriority w:val="99"/>
    <w:unhideWhenUsed/>
    <w:rsid w:val="006C32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32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Enquiries by Industry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Sheet1!$B$4:$B$34</c:f>
              <c:strCache>
                <c:ptCount val="31"/>
                <c:pt idx="0">
                  <c:v>Business Services</c:v>
                </c:pt>
                <c:pt idx="2">
                  <c:v>Catering</c:v>
                </c:pt>
                <c:pt idx="4">
                  <c:v>Construction</c:v>
                </c:pt>
                <c:pt idx="6">
                  <c:v>Education</c:v>
                </c:pt>
                <c:pt idx="8">
                  <c:v>Garden Services</c:v>
                </c:pt>
                <c:pt idx="10">
                  <c:v>Hospitality</c:v>
                </c:pt>
                <c:pt idx="12">
                  <c:v>Leisure</c:v>
                </c:pt>
                <c:pt idx="14">
                  <c:v>Manufacturing</c:v>
                </c:pt>
                <c:pt idx="16">
                  <c:v>Manufacturing HT</c:v>
                </c:pt>
                <c:pt idx="18">
                  <c:v>Medical</c:v>
                </c:pt>
                <c:pt idx="20">
                  <c:v>Motor Services</c:v>
                </c:pt>
                <c:pt idx="22">
                  <c:v>Recruitment</c:v>
                </c:pt>
                <c:pt idx="24">
                  <c:v>Retail</c:v>
                </c:pt>
                <c:pt idx="26">
                  <c:v>Service</c:v>
                </c:pt>
                <c:pt idx="28">
                  <c:v>Transport</c:v>
                </c:pt>
                <c:pt idx="30">
                  <c:v>Unspecified</c:v>
                </c:pt>
              </c:strCache>
            </c:strRef>
          </c:cat>
          <c:val>
            <c:numRef>
              <c:f>Sheet1!$C$4:$C$34</c:f>
            </c:numRef>
          </c:val>
          <c:extLst>
            <c:ext xmlns:c16="http://schemas.microsoft.com/office/drawing/2014/chart" uri="{C3380CC4-5D6E-409C-BE32-E72D297353CC}">
              <c16:uniqueId val="{00000000-3560-439B-AA35-48B8DA08E809}"/>
            </c:ext>
          </c:extLst>
        </c:ser>
        <c:ser>
          <c:idx val="1"/>
          <c:order val="1"/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Sheet1!$B$4:$B$34</c:f>
              <c:strCache>
                <c:ptCount val="31"/>
                <c:pt idx="0">
                  <c:v>Business Services</c:v>
                </c:pt>
                <c:pt idx="2">
                  <c:v>Catering</c:v>
                </c:pt>
                <c:pt idx="4">
                  <c:v>Construction</c:v>
                </c:pt>
                <c:pt idx="6">
                  <c:v>Education</c:v>
                </c:pt>
                <c:pt idx="8">
                  <c:v>Garden Services</c:v>
                </c:pt>
                <c:pt idx="10">
                  <c:v>Hospitality</c:v>
                </c:pt>
                <c:pt idx="12">
                  <c:v>Leisure</c:v>
                </c:pt>
                <c:pt idx="14">
                  <c:v>Manufacturing</c:v>
                </c:pt>
                <c:pt idx="16">
                  <c:v>Manufacturing HT</c:v>
                </c:pt>
                <c:pt idx="18">
                  <c:v>Medical</c:v>
                </c:pt>
                <c:pt idx="20">
                  <c:v>Motor Services</c:v>
                </c:pt>
                <c:pt idx="22">
                  <c:v>Recruitment</c:v>
                </c:pt>
                <c:pt idx="24">
                  <c:v>Retail</c:v>
                </c:pt>
                <c:pt idx="26">
                  <c:v>Service</c:v>
                </c:pt>
                <c:pt idx="28">
                  <c:v>Transport</c:v>
                </c:pt>
                <c:pt idx="30">
                  <c:v>Unspecified</c:v>
                </c:pt>
              </c:strCache>
            </c:strRef>
          </c:cat>
          <c:val>
            <c:numRef>
              <c:f>Sheet1!$D$4:$D$34</c:f>
            </c:numRef>
          </c:val>
          <c:extLst>
            <c:ext xmlns:c16="http://schemas.microsoft.com/office/drawing/2014/chart" uri="{C3380CC4-5D6E-409C-BE32-E72D297353CC}">
              <c16:uniqueId val="{00000001-3560-439B-AA35-48B8DA08E809}"/>
            </c:ext>
          </c:extLst>
        </c:ser>
        <c:ser>
          <c:idx val="3"/>
          <c:order val="3"/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Sheet1!$B$4:$B$34</c:f>
              <c:strCache>
                <c:ptCount val="31"/>
                <c:pt idx="0">
                  <c:v>Business Services</c:v>
                </c:pt>
                <c:pt idx="2">
                  <c:v>Catering</c:v>
                </c:pt>
                <c:pt idx="4">
                  <c:v>Construction</c:v>
                </c:pt>
                <c:pt idx="6">
                  <c:v>Education</c:v>
                </c:pt>
                <c:pt idx="8">
                  <c:v>Garden Services</c:v>
                </c:pt>
                <c:pt idx="10">
                  <c:v>Hospitality</c:v>
                </c:pt>
                <c:pt idx="12">
                  <c:v>Leisure</c:v>
                </c:pt>
                <c:pt idx="14">
                  <c:v>Manufacturing</c:v>
                </c:pt>
                <c:pt idx="16">
                  <c:v>Manufacturing HT</c:v>
                </c:pt>
                <c:pt idx="18">
                  <c:v>Medical</c:v>
                </c:pt>
                <c:pt idx="20">
                  <c:v>Motor Services</c:v>
                </c:pt>
                <c:pt idx="22">
                  <c:v>Recruitment</c:v>
                </c:pt>
                <c:pt idx="24">
                  <c:v>Retail</c:v>
                </c:pt>
                <c:pt idx="26">
                  <c:v>Service</c:v>
                </c:pt>
                <c:pt idx="28">
                  <c:v>Transport</c:v>
                </c:pt>
                <c:pt idx="30">
                  <c:v>Unspecified</c:v>
                </c:pt>
              </c:strCache>
            </c:strRef>
          </c:cat>
          <c:val>
            <c:numRef>
              <c:f>Sheet1!$F$4:$F$34</c:f>
              <c:numCache>
                <c:formatCode>General</c:formatCode>
                <c:ptCount val="31"/>
                <c:pt idx="0" formatCode="0.00%">
                  <c:v>0.1864406779661017</c:v>
                </c:pt>
                <c:pt idx="2" formatCode="0.00%">
                  <c:v>1.6949152542372881E-2</c:v>
                </c:pt>
                <c:pt idx="4" formatCode="0.00%">
                  <c:v>1.6949152542372881E-2</c:v>
                </c:pt>
                <c:pt idx="6" formatCode="0.00%">
                  <c:v>0.10169491525423729</c:v>
                </c:pt>
                <c:pt idx="8" formatCode="0.00%">
                  <c:v>1.6949152542372881E-2</c:v>
                </c:pt>
                <c:pt idx="10" formatCode="0.00%">
                  <c:v>0.16949152542372881</c:v>
                </c:pt>
                <c:pt idx="12" formatCode="0.00%">
                  <c:v>8.4745762711864403E-2</c:v>
                </c:pt>
                <c:pt idx="14" formatCode="0.00%">
                  <c:v>5.0847457627118647E-2</c:v>
                </c:pt>
                <c:pt idx="16" formatCode="0.00%">
                  <c:v>1.6949152542372881E-2</c:v>
                </c:pt>
                <c:pt idx="18" formatCode="0.00%">
                  <c:v>3.3898305084745763E-2</c:v>
                </c:pt>
                <c:pt idx="20" formatCode="0.00%">
                  <c:v>5.0847457627118647E-2</c:v>
                </c:pt>
                <c:pt idx="22" formatCode="0.00%">
                  <c:v>1.6949152542372881E-2</c:v>
                </c:pt>
                <c:pt idx="24" formatCode="0.00%">
                  <c:v>0.10169491525423729</c:v>
                </c:pt>
                <c:pt idx="26" formatCode="0.00%">
                  <c:v>1.6949152542372881E-2</c:v>
                </c:pt>
                <c:pt idx="28" formatCode="0.00%">
                  <c:v>1.6949152542372881E-2</c:v>
                </c:pt>
                <c:pt idx="30" formatCode="0.00%">
                  <c:v>0.10169491525423729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3560-439B-AA35-48B8DA08E80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043450304"/>
        <c:axId val="1015054896"/>
        <c:extLst>
          <c:ext xmlns:c15="http://schemas.microsoft.com/office/drawing/2012/chart" uri="{02D57815-91ED-43cb-92C2-25804820EDAC}">
            <c15:filteredBarSeries>
              <c15:ser>
                <c:idx val="2"/>
                <c:order val="2"/>
                <c:spPr>
                  <a:solidFill>
                    <a:schemeClr val="accent3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>
                      <c:ext uri="{02D57815-91ED-43cb-92C2-25804820EDAC}">
                        <c15:formulaRef>
                          <c15:sqref>Sheet1!$B$4:$B$34</c15:sqref>
                        </c15:formulaRef>
                      </c:ext>
                    </c:extLst>
                    <c:strCache>
                      <c:ptCount val="31"/>
                      <c:pt idx="0">
                        <c:v>Business Services</c:v>
                      </c:pt>
                      <c:pt idx="2">
                        <c:v>Catering</c:v>
                      </c:pt>
                      <c:pt idx="4">
                        <c:v>Construction</c:v>
                      </c:pt>
                      <c:pt idx="6">
                        <c:v>Education</c:v>
                      </c:pt>
                      <c:pt idx="8">
                        <c:v>Garden Services</c:v>
                      </c:pt>
                      <c:pt idx="10">
                        <c:v>Hospitality</c:v>
                      </c:pt>
                      <c:pt idx="12">
                        <c:v>Leisure</c:v>
                      </c:pt>
                      <c:pt idx="14">
                        <c:v>Manufacturing</c:v>
                      </c:pt>
                      <c:pt idx="16">
                        <c:v>Manufacturing HT</c:v>
                      </c:pt>
                      <c:pt idx="18">
                        <c:v>Medical</c:v>
                      </c:pt>
                      <c:pt idx="20">
                        <c:v>Motor Services</c:v>
                      </c:pt>
                      <c:pt idx="22">
                        <c:v>Recruitment</c:v>
                      </c:pt>
                      <c:pt idx="24">
                        <c:v>Retail</c:v>
                      </c:pt>
                      <c:pt idx="26">
                        <c:v>Service</c:v>
                      </c:pt>
                      <c:pt idx="28">
                        <c:v>Transport</c:v>
                      </c:pt>
                      <c:pt idx="30">
                        <c:v>Unspecified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Sheet1!$E$4:$E$34</c15:sqref>
                        </c15:formulaRef>
                      </c:ext>
                    </c:extLst>
                    <c:numCache>
                      <c:formatCode>General</c:formatCode>
                      <c:ptCount val="31"/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3-3560-439B-AA35-48B8DA08E809}"/>
                  </c:ext>
                </c:extLst>
              </c15:ser>
            </c15:filteredBarSeries>
          </c:ext>
        </c:extLst>
      </c:barChart>
      <c:catAx>
        <c:axId val="104345030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015054896"/>
        <c:crosses val="autoZero"/>
        <c:auto val="1"/>
        <c:lblAlgn val="ctr"/>
        <c:lblOffset val="100"/>
        <c:noMultiLvlLbl val="0"/>
      </c:catAx>
      <c:valAx>
        <c:axId val="101505489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04345030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271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Smallwood</dc:creator>
  <cp:keywords/>
  <dc:description/>
  <cp:lastModifiedBy>Ioni Sullivan</cp:lastModifiedBy>
  <cp:revision>2</cp:revision>
  <dcterms:created xsi:type="dcterms:W3CDTF">2020-04-15T13:41:00Z</dcterms:created>
  <dcterms:modified xsi:type="dcterms:W3CDTF">2020-04-15T13:41:00Z</dcterms:modified>
</cp:coreProperties>
</file>